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568" w:rsidRPr="00022683" w:rsidRDefault="00C23568" w:rsidP="00657161">
      <w:pPr>
        <w:spacing w:line="360" w:lineRule="auto"/>
        <w:rPr>
          <w:rFonts w:ascii="Times New Roman" w:hAnsi="Times New Roman"/>
          <w:sz w:val="24"/>
          <w:szCs w:val="24"/>
        </w:rPr>
      </w:pPr>
      <w:r w:rsidRPr="00022683">
        <w:rPr>
          <w:rFonts w:ascii="Times New Roman" w:hAnsi="Times New Roman"/>
          <w:b/>
          <w:sz w:val="24"/>
          <w:szCs w:val="24"/>
        </w:rPr>
        <w:t xml:space="preserve">Table </w:t>
      </w:r>
      <w:r w:rsidR="00657161">
        <w:rPr>
          <w:rFonts w:ascii="Times New Roman" w:hAnsi="Times New Roman" w:hint="eastAsia"/>
          <w:b/>
          <w:sz w:val="24"/>
          <w:szCs w:val="24"/>
        </w:rPr>
        <w:t>S</w:t>
      </w:r>
      <w:r w:rsidR="00F27EC6">
        <w:rPr>
          <w:rFonts w:ascii="Times New Roman" w:hAnsi="Times New Roman" w:hint="eastAsia"/>
          <w:b/>
          <w:sz w:val="24"/>
          <w:szCs w:val="24"/>
        </w:rPr>
        <w:t>2</w:t>
      </w:r>
      <w:bookmarkStart w:id="0" w:name="_GoBack"/>
      <w:bookmarkEnd w:id="0"/>
      <w:r w:rsidRPr="00022683">
        <w:rPr>
          <w:rFonts w:ascii="Times New Roman" w:hAnsi="Times New Roman"/>
          <w:b/>
          <w:sz w:val="24"/>
          <w:szCs w:val="24"/>
        </w:rPr>
        <w:t xml:space="preserve"> </w:t>
      </w:r>
      <w:r w:rsidRPr="00022683">
        <w:rPr>
          <w:rFonts w:ascii="Times New Roman" w:hAnsi="Times New Roman"/>
          <w:sz w:val="24"/>
          <w:szCs w:val="24"/>
        </w:rPr>
        <w:t>Primers used in PCR and sequencing.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18"/>
        <w:gridCol w:w="1418"/>
        <w:gridCol w:w="5244"/>
        <w:gridCol w:w="1418"/>
        <w:gridCol w:w="3544"/>
      </w:tblGrid>
      <w:tr w:rsidR="00C23568" w:rsidRPr="00022683" w:rsidTr="00AD17FF">
        <w:trPr>
          <w:trHeight w:val="419"/>
        </w:trPr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Locus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Primer</w:t>
            </w: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Primer sequence (5’</w:t>
            </w:r>
            <w:r w:rsidRPr="00022683">
              <w:rPr>
                <w:rFonts w:ascii="Times New Roman" w:hAnsi="Times New Roman" w:hint="eastAsia"/>
                <w:sz w:val="24"/>
                <w:szCs w:val="24"/>
              </w:rPr>
              <w:t>→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>3’)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Size (bp)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Cited source</w:t>
            </w:r>
          </w:p>
        </w:tc>
      </w:tr>
      <w:tr w:rsidR="00C23568" w:rsidRPr="00022683" w:rsidTr="00AD17FF">
        <w:tc>
          <w:tcPr>
            <w:tcW w:w="2518" w:type="dxa"/>
            <w:vMerge w:val="restart"/>
            <w:tcBorders>
              <w:top w:val="single" w:sz="4" w:space="0" w:color="auto"/>
            </w:tcBorders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Proopiomelanocortin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POMC-1</w:t>
            </w:r>
          </w:p>
        </w:tc>
        <w:tc>
          <w:tcPr>
            <w:tcW w:w="5244" w:type="dxa"/>
            <w:tcBorders>
              <w:top w:val="single" w:sz="4" w:space="0" w:color="auto"/>
            </w:tcBorders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GAATGTATYAAAGMMTGCAAGATGGWCCT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522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  <w:lang w:val="da-DK"/>
              </w:rPr>
              <w:t xml:space="preserve">Wiens J.J et al. 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>(2005)</w:t>
            </w:r>
          </w:p>
        </w:tc>
      </w:tr>
      <w:tr w:rsidR="00C23568" w:rsidRPr="00022683" w:rsidTr="00AD17FF">
        <w:tc>
          <w:tcPr>
            <w:tcW w:w="2518" w:type="dxa"/>
            <w:vMerge/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POMC-2</w:t>
            </w:r>
          </w:p>
        </w:tc>
        <w:tc>
          <w:tcPr>
            <w:tcW w:w="5244" w:type="dxa"/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TAYTGRCCCTTYTTGTGGGCRTT</w:t>
            </w:r>
          </w:p>
        </w:tc>
        <w:tc>
          <w:tcPr>
            <w:tcW w:w="1418" w:type="dxa"/>
            <w:vMerge/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  <w:lang w:val="da-DK"/>
              </w:rPr>
              <w:t xml:space="preserve">Wiens J.J et al. 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>(2005)</w:t>
            </w:r>
          </w:p>
        </w:tc>
      </w:tr>
      <w:tr w:rsidR="00C23568" w:rsidRPr="00022683" w:rsidTr="00AD17FF">
        <w:tc>
          <w:tcPr>
            <w:tcW w:w="2518" w:type="dxa"/>
            <w:vMerge w:val="restart"/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12S ribosomal small subunit gene</w:t>
            </w:r>
          </w:p>
        </w:tc>
        <w:tc>
          <w:tcPr>
            <w:tcW w:w="1418" w:type="dxa"/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12S-F</w:t>
            </w:r>
          </w:p>
        </w:tc>
        <w:tc>
          <w:tcPr>
            <w:tcW w:w="5244" w:type="dxa"/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GCTCAGGACAGAGAGAATTT</w:t>
            </w:r>
          </w:p>
        </w:tc>
        <w:tc>
          <w:tcPr>
            <w:tcW w:w="1418" w:type="dxa"/>
            <w:vMerge w:val="restart"/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1278</w:t>
            </w:r>
          </w:p>
        </w:tc>
        <w:tc>
          <w:tcPr>
            <w:tcW w:w="3544" w:type="dxa"/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23568" w:rsidRPr="00022683" w:rsidTr="00AD17FF">
        <w:tc>
          <w:tcPr>
            <w:tcW w:w="2518" w:type="dxa"/>
            <w:vMerge/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12S-R</w:t>
            </w:r>
          </w:p>
        </w:tc>
        <w:tc>
          <w:tcPr>
            <w:tcW w:w="5244" w:type="dxa"/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ATCTTTCCCTTGCGGTACTA</w:t>
            </w:r>
          </w:p>
        </w:tc>
        <w:tc>
          <w:tcPr>
            <w:tcW w:w="1418" w:type="dxa"/>
            <w:vMerge/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23568" w:rsidRPr="00022683" w:rsidTr="00AD17FF">
        <w:tc>
          <w:tcPr>
            <w:tcW w:w="2518" w:type="dxa"/>
            <w:vMerge w:val="restart"/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NADH dehydrogenase subunit 1 gene</w:t>
            </w:r>
          </w:p>
        </w:tc>
        <w:tc>
          <w:tcPr>
            <w:tcW w:w="1418" w:type="dxa"/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ND1-F</w:t>
            </w:r>
          </w:p>
        </w:tc>
        <w:tc>
          <w:tcPr>
            <w:tcW w:w="5244" w:type="dxa"/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GATTATTAGTTTTAGGTTGGGGT</w:t>
            </w:r>
          </w:p>
        </w:tc>
        <w:tc>
          <w:tcPr>
            <w:tcW w:w="1418" w:type="dxa"/>
            <w:vMerge w:val="restart"/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1507</w:t>
            </w:r>
          </w:p>
        </w:tc>
        <w:tc>
          <w:tcPr>
            <w:tcW w:w="3544" w:type="dxa"/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  <w:tr w:rsidR="00C23568" w:rsidRPr="00022683" w:rsidTr="00AD17FF">
        <w:tc>
          <w:tcPr>
            <w:tcW w:w="2518" w:type="dxa"/>
            <w:vMerge/>
            <w:tcBorders>
              <w:bottom w:val="single" w:sz="4" w:space="0" w:color="auto"/>
            </w:tcBorders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ND1-R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CCCTATCAAGGAGGTCCTTA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C23568" w:rsidRPr="00022683" w:rsidRDefault="00C23568" w:rsidP="0065716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This study</w:t>
            </w:r>
          </w:p>
        </w:tc>
      </w:tr>
    </w:tbl>
    <w:p w:rsidR="00C23568" w:rsidRPr="00022683" w:rsidRDefault="00C23568" w:rsidP="00657161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1D1000" w:rsidRDefault="001D1000" w:rsidP="00657161">
      <w:pPr>
        <w:spacing w:line="360" w:lineRule="auto"/>
      </w:pPr>
    </w:p>
    <w:sectPr w:rsidR="001D1000" w:rsidSect="00C2356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11E4" w:rsidRDefault="003511E4" w:rsidP="00C23568">
      <w:r>
        <w:separator/>
      </w:r>
    </w:p>
  </w:endnote>
  <w:endnote w:type="continuationSeparator" w:id="0">
    <w:p w:rsidR="003511E4" w:rsidRDefault="003511E4" w:rsidP="00C23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11E4" w:rsidRDefault="003511E4" w:rsidP="00C23568">
      <w:r>
        <w:separator/>
      </w:r>
    </w:p>
  </w:footnote>
  <w:footnote w:type="continuationSeparator" w:id="0">
    <w:p w:rsidR="003511E4" w:rsidRDefault="003511E4" w:rsidP="00C235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B77"/>
    <w:rsid w:val="00085E6B"/>
    <w:rsid w:val="001D1000"/>
    <w:rsid w:val="003511E4"/>
    <w:rsid w:val="005B5B77"/>
    <w:rsid w:val="00657161"/>
    <w:rsid w:val="008436A2"/>
    <w:rsid w:val="00C23568"/>
    <w:rsid w:val="00F2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56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35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35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35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356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56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35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35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35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35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419</Characters>
  <Application>Microsoft Office Word</Application>
  <DocSecurity>0</DocSecurity>
  <Lines>3</Lines>
  <Paragraphs>1</Paragraphs>
  <ScaleCrop>false</ScaleCrop>
  <Company>微软中国</Company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2017-11-11T02:32:00Z</dcterms:created>
  <dcterms:modified xsi:type="dcterms:W3CDTF">2019-05-18T23:40:00Z</dcterms:modified>
</cp:coreProperties>
</file>